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2" w:rsidRPr="00E7492A" w:rsidRDefault="00CA41C2" w:rsidP="0022187C">
      <w:pPr>
        <w:pStyle w:val="1"/>
        <w:shd w:val="clear" w:color="auto" w:fill="FFFFFF"/>
        <w:spacing w:before="0" w:after="192" w:line="684" w:lineRule="atLeast"/>
        <w:jc w:val="center"/>
        <w:rPr>
          <w:rFonts w:ascii="Times New Roman" w:hAnsi="Times New Roman" w:cs="Times New Roman"/>
          <w:color w:val="0B201D"/>
          <w:sz w:val="32"/>
          <w:szCs w:val="32"/>
        </w:rPr>
      </w:pPr>
      <w:r>
        <w:rPr>
          <w:rFonts w:ascii="Times New Roman" w:hAnsi="Times New Roman" w:cs="Times New Roman"/>
          <w:color w:val="0B201D"/>
          <w:sz w:val="32"/>
          <w:szCs w:val="32"/>
        </w:rPr>
        <w:t xml:space="preserve"> </w:t>
      </w:r>
    </w:p>
    <w:tbl>
      <w:tblPr>
        <w:tblStyle w:val="a8"/>
        <w:tblW w:w="933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290"/>
      </w:tblGrid>
      <w:tr w:rsidR="00CA41C2" w:rsidRPr="00AF4717" w:rsidTr="005427D4">
        <w:trPr>
          <w:trHeight w:val="404"/>
        </w:trPr>
        <w:tc>
          <w:tcPr>
            <w:tcW w:w="3046" w:type="dxa"/>
          </w:tcPr>
          <w:p w:rsidR="00CA41C2" w:rsidRDefault="00CA41C2" w:rsidP="00727BCF">
            <w:pPr>
              <w:pStyle w:val="a6"/>
              <w:ind w:right="39"/>
              <w:rPr>
                <w:noProof/>
                <w:sz w:val="20"/>
                <w:szCs w:val="20"/>
                <w:lang w:eastAsia="ru-RU"/>
              </w:rPr>
            </w:pPr>
          </w:p>
          <w:p w:rsidR="00CA41C2" w:rsidRPr="00FC0FAB" w:rsidRDefault="00CA41C2" w:rsidP="00727BCF">
            <w:pPr>
              <w:pStyle w:val="a6"/>
              <w:ind w:right="39" w:hanging="11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3400" cy="393700"/>
                  <wp:effectExtent l="0" t="0" r="6350" b="635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МЕЖРЕГИОНАЛЬНАЯ ОБЩЕСТВЕННАЯ ОРГАНИЗАЦИЯ – </w:t>
            </w:r>
          </w:p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ДОРОЖНАЯ ТЕРРИТОРИАЛЬНАЯ ОРГАНИЗАЦИЯ </w:t>
            </w:r>
          </w:p>
          <w:p w:rsidR="00CA41C2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ПРОФЕССИОНАЛЬНОГО СОЮЗА ЖЕЛЕЗНОДОРОЖНИКОВ И ТРАНСПОРТНЫХ СТРОИТЕЛЕЙ НА МОСКОВСКОЙ ЖЕЛЕЗНОЙ ДОРОГЕ</w:t>
            </w:r>
          </w:p>
          <w:p w:rsidR="00CA41C2" w:rsidRPr="00AF4717" w:rsidRDefault="00CA41C2" w:rsidP="00727B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36D8C" w:rsidRPr="0022599C" w:rsidRDefault="00D36D8C" w:rsidP="00D36D8C">
      <w:pPr>
        <w:spacing w:after="0" w:line="340" w:lineRule="exact"/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22599C">
        <w:rPr>
          <w:rFonts w:ascii="Times New Roman" w:hAnsi="Times New Roman" w:cs="Times New Roman"/>
          <w:b/>
          <w:shadow/>
          <w:sz w:val="36"/>
          <w:szCs w:val="36"/>
        </w:rPr>
        <w:t>Орловско  - Курское региональное  обособленное подразделение</w:t>
      </w:r>
    </w:p>
    <w:p w:rsidR="00D36D8C" w:rsidRPr="0022599C" w:rsidRDefault="00D36D8C" w:rsidP="00D36D8C">
      <w:pPr>
        <w:spacing w:after="0" w:line="340" w:lineRule="exact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z w:val="32"/>
          <w:szCs w:val="32"/>
        </w:rPr>
        <w:t xml:space="preserve">ЮРИСТ  </w:t>
      </w:r>
      <w:r w:rsidRPr="0022599C">
        <w:rPr>
          <w:rFonts w:ascii="Times New Roman" w:hAnsi="Times New Roman" w:cs="Times New Roman"/>
          <w:b/>
          <w:i/>
          <w:shadow/>
          <w:color w:val="FF0000"/>
          <w:sz w:val="32"/>
          <w:szCs w:val="32"/>
        </w:rPr>
        <w:t>КОНСУЛЬТИРУЕТ</w:t>
      </w: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  <w:t xml:space="preserve"> </w:t>
      </w:r>
    </w:p>
    <w:p w:rsidR="00D36D8C" w:rsidRPr="0022599C" w:rsidRDefault="00D36D8C" w:rsidP="00D36D8C">
      <w:pPr>
        <w:spacing w:after="0" w:line="340" w:lineRule="exact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  <w:t>Ноябрь   2023 года</w:t>
      </w:r>
    </w:p>
    <w:p w:rsidR="00D56B13" w:rsidRPr="00D36D8C" w:rsidRDefault="00D56B13" w:rsidP="00D36D8C">
      <w:pPr>
        <w:pStyle w:val="2"/>
        <w:spacing w:before="270"/>
        <w:ind w:left="525" w:right="525"/>
        <w:jc w:val="center"/>
        <w:rPr>
          <w:rFonts w:ascii="Times New Roman" w:hAnsi="Times New Roman" w:cs="Times New Roman"/>
          <w:bCs w:val="0"/>
          <w:color w:val="000000"/>
          <w:sz w:val="36"/>
          <w:szCs w:val="36"/>
        </w:rPr>
      </w:pPr>
      <w:r w:rsidRPr="00D36D8C">
        <w:rPr>
          <w:rFonts w:ascii="Times New Roman" w:hAnsi="Times New Roman" w:cs="Times New Roman"/>
          <w:bCs w:val="0"/>
          <w:color w:val="000000"/>
          <w:sz w:val="36"/>
          <w:szCs w:val="36"/>
        </w:rPr>
        <w:t>Как оплачивать обучение работника в выходной день?</w:t>
      </w:r>
    </w:p>
    <w:p w:rsidR="00D56B13" w:rsidRP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6B13" w:rsidRPr="00D36D8C">
        <w:rPr>
          <w:color w:val="000000"/>
          <w:sz w:val="28"/>
          <w:szCs w:val="28"/>
        </w:rPr>
        <w:t>Обучение работника в выходной день необходимо оплатить не менее чем в двойном размере (как за работу в выходной день). Такой вывод сделали эксперты ГИТ по г. Москве, отвечая на вопрос работодателя, который направил сотрудника в другой город на курсы повышения квалификации.</w:t>
      </w:r>
    </w:p>
    <w:p w:rsidR="00D56B13" w:rsidRP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6B13" w:rsidRPr="00D36D8C">
        <w:rPr>
          <w:color w:val="000000"/>
          <w:sz w:val="28"/>
          <w:szCs w:val="28"/>
        </w:rPr>
        <w:t>Если работодатель направляет сотрудника на профессиональное обучение, то необходимо (</w:t>
      </w:r>
      <w:hyperlink r:id="rId6" w:tgtFrame="_top" w:history="1">
        <w:r w:rsidR="00D56B13" w:rsidRPr="00D36D8C">
          <w:rPr>
            <w:rStyle w:val="a4"/>
            <w:color w:val="5484D2"/>
            <w:sz w:val="28"/>
            <w:szCs w:val="28"/>
            <w:u w:val="none"/>
          </w:rPr>
          <w:t>ч. 1 ст. 187 ТК РФ</w:t>
        </w:r>
      </w:hyperlink>
      <w:r w:rsidR="00D56B13" w:rsidRPr="00D36D8C">
        <w:rPr>
          <w:color w:val="000000"/>
          <w:sz w:val="28"/>
          <w:szCs w:val="28"/>
        </w:rPr>
        <w:t>):</w:t>
      </w:r>
    </w:p>
    <w:p w:rsidR="00D56B13" w:rsidRPr="00D36D8C" w:rsidRDefault="00D56B13" w:rsidP="00D36D8C">
      <w:pPr>
        <w:numPr>
          <w:ilvl w:val="0"/>
          <w:numId w:val="5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8C">
        <w:rPr>
          <w:rFonts w:ascii="Times New Roman" w:hAnsi="Times New Roman" w:cs="Times New Roman"/>
          <w:color w:val="000000"/>
          <w:sz w:val="28"/>
          <w:szCs w:val="28"/>
        </w:rPr>
        <w:t>сохранить за ним место работы (должность) и средний заработок по основному месту работы;</w:t>
      </w:r>
    </w:p>
    <w:p w:rsidR="00D56B13" w:rsidRPr="00D36D8C" w:rsidRDefault="00D56B13" w:rsidP="00D36D8C">
      <w:pPr>
        <w:numPr>
          <w:ilvl w:val="0"/>
          <w:numId w:val="5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8C">
        <w:rPr>
          <w:rFonts w:ascii="Times New Roman" w:hAnsi="Times New Roman" w:cs="Times New Roman"/>
          <w:color w:val="000000"/>
          <w:sz w:val="28"/>
          <w:szCs w:val="28"/>
        </w:rPr>
        <w:t>оплатить командировочные расходы в порядке и размерах, предусмотренных для лиц, направляемых в служебные командировки (если на обучение сотрудник направляется в другую местность).</w:t>
      </w:r>
    </w:p>
    <w:p w:rsidR="00D56B13" w:rsidRP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56B13" w:rsidRPr="00D36D8C">
        <w:rPr>
          <w:color w:val="000000"/>
          <w:sz w:val="28"/>
          <w:szCs w:val="28"/>
        </w:rPr>
        <w:t>При направлении сотрудника на обучение (повышение квалификации) работодателям необходимо учитывать следующее:</w:t>
      </w:r>
    </w:p>
    <w:p w:rsidR="00D56B13" w:rsidRPr="00D36D8C" w:rsidRDefault="00D56B13" w:rsidP="00D36D8C">
      <w:pPr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8C">
        <w:rPr>
          <w:rFonts w:ascii="Times New Roman" w:hAnsi="Times New Roman" w:cs="Times New Roman"/>
          <w:color w:val="000000"/>
          <w:sz w:val="28"/>
          <w:szCs w:val="28"/>
        </w:rPr>
        <w:t>если сотрудник повышает квалификацию на основании распоряжения работодателя за пределами установленного рабочего времени и отдыха, можно утверждать, что он исполняет поручение (задание) работодателя в дни, которые по графику являются выходными, в таком случае оплата сверхурочной работы и работы в выходные дни производится в повышенном размере (</w:t>
      </w:r>
      <w:hyperlink r:id="rId7" w:tgtFrame="_top" w:history="1">
        <w:r w:rsidRPr="00D36D8C">
          <w:rPr>
            <w:rStyle w:val="a4"/>
            <w:rFonts w:ascii="Times New Roman" w:hAnsi="Times New Roman" w:cs="Times New Roman"/>
            <w:color w:val="5484D2"/>
            <w:sz w:val="28"/>
            <w:szCs w:val="28"/>
          </w:rPr>
          <w:t>ст. 152</w:t>
        </w:r>
      </w:hyperlink>
      <w:r w:rsidRPr="00D36D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6D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gtFrame="_top" w:history="1">
        <w:r w:rsidRPr="00D36D8C">
          <w:rPr>
            <w:rStyle w:val="a4"/>
            <w:rFonts w:ascii="Times New Roman" w:hAnsi="Times New Roman" w:cs="Times New Roman"/>
            <w:color w:val="5484D2"/>
            <w:sz w:val="28"/>
            <w:szCs w:val="28"/>
          </w:rPr>
          <w:t>153 ТК РФ</w:t>
        </w:r>
      </w:hyperlink>
      <w:r w:rsidRPr="00D36D8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56B13" w:rsidRPr="00D36D8C" w:rsidRDefault="00D56B13" w:rsidP="00D36D8C">
      <w:pPr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8C">
        <w:rPr>
          <w:rFonts w:ascii="Times New Roman" w:hAnsi="Times New Roman" w:cs="Times New Roman"/>
          <w:color w:val="000000"/>
          <w:sz w:val="28"/>
          <w:szCs w:val="28"/>
        </w:rPr>
        <w:t>направление сотрудника на обучение в нерабочее время возможно только с его согласия;</w:t>
      </w:r>
    </w:p>
    <w:p w:rsidR="00D56B13" w:rsidRPr="00D36D8C" w:rsidRDefault="00D56B13" w:rsidP="00D36D8C">
      <w:pPr>
        <w:numPr>
          <w:ilvl w:val="0"/>
          <w:numId w:val="6"/>
        </w:numPr>
        <w:spacing w:after="0" w:line="3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6D8C">
        <w:rPr>
          <w:rFonts w:ascii="Times New Roman" w:hAnsi="Times New Roman" w:cs="Times New Roman"/>
          <w:color w:val="000000"/>
          <w:sz w:val="28"/>
          <w:szCs w:val="28"/>
        </w:rPr>
        <w:t>принуждать сотрудника проходить обучение в свободное от работы время работодатель не вправе.</w:t>
      </w:r>
    </w:p>
    <w:p w:rsid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</w:p>
    <w:p w:rsid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36D8C">
        <w:rPr>
          <w:color w:val="000000"/>
          <w:sz w:val="28"/>
          <w:szCs w:val="28"/>
        </w:rPr>
        <w:t>Необходимость оплаты обучения в выходные дни по правилам</w:t>
      </w:r>
      <w:r w:rsidRPr="00D36D8C">
        <w:rPr>
          <w:rStyle w:val="apple-converted-space"/>
          <w:color w:val="000000"/>
          <w:sz w:val="28"/>
          <w:szCs w:val="28"/>
        </w:rPr>
        <w:t> </w:t>
      </w:r>
      <w:hyperlink r:id="rId9" w:tgtFrame="_top" w:history="1">
        <w:r w:rsidRPr="00D36D8C">
          <w:rPr>
            <w:rStyle w:val="a4"/>
            <w:color w:val="5484D2"/>
            <w:sz w:val="28"/>
            <w:szCs w:val="28"/>
          </w:rPr>
          <w:t>ст. 153 ТК РФ</w:t>
        </w:r>
      </w:hyperlink>
      <w:r w:rsidRPr="00D36D8C">
        <w:rPr>
          <w:rStyle w:val="apple-converted-space"/>
          <w:color w:val="000000"/>
          <w:sz w:val="28"/>
          <w:szCs w:val="28"/>
        </w:rPr>
        <w:t> </w:t>
      </w:r>
      <w:r w:rsidRPr="00D36D8C">
        <w:rPr>
          <w:color w:val="000000"/>
          <w:sz w:val="28"/>
          <w:szCs w:val="28"/>
        </w:rPr>
        <w:t>подтверждают  Роструд (см. письмо</w:t>
      </w:r>
      <w:r w:rsidRPr="00D36D8C">
        <w:rPr>
          <w:rStyle w:val="apple-converted-space"/>
          <w:color w:val="000000"/>
          <w:sz w:val="28"/>
          <w:szCs w:val="28"/>
        </w:rPr>
        <w:t> </w:t>
      </w:r>
      <w:hyperlink r:id="rId10" w:tgtFrame="_top" w:history="1">
        <w:r w:rsidRPr="00D36D8C">
          <w:rPr>
            <w:rStyle w:val="a4"/>
            <w:color w:val="5484D2"/>
            <w:sz w:val="28"/>
            <w:szCs w:val="28"/>
          </w:rPr>
          <w:t>от 24.01.2020 № ПГ/37449-6-1</w:t>
        </w:r>
      </w:hyperlink>
      <w:r w:rsidRPr="00D36D8C">
        <w:rPr>
          <w:color w:val="000000"/>
          <w:sz w:val="28"/>
          <w:szCs w:val="28"/>
        </w:rPr>
        <w:t>).</w:t>
      </w:r>
    </w:p>
    <w:p w:rsidR="00D36D8C" w:rsidRPr="005427D4" w:rsidRDefault="00D36D8C" w:rsidP="00D36D8C">
      <w:pPr>
        <w:pStyle w:val="1"/>
        <w:shd w:val="clear" w:color="auto" w:fill="FFFFFF"/>
        <w:tabs>
          <w:tab w:val="center" w:pos="4677"/>
        </w:tabs>
        <w:spacing w:before="0" w:line="340" w:lineRule="exact"/>
        <w:ind w:right="-1"/>
        <w:rPr>
          <w:rFonts w:ascii="Times New Roman" w:hAnsi="Times New Roman" w:cs="Times New Roman"/>
          <w:sz w:val="24"/>
          <w:szCs w:val="24"/>
        </w:rPr>
      </w:pPr>
    </w:p>
    <w:p w:rsidR="00D36D8C" w:rsidRP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i/>
          <w:color w:val="000000"/>
          <w:sz w:val="22"/>
          <w:szCs w:val="22"/>
        </w:rPr>
      </w:pPr>
      <w:r w:rsidRPr="00D36D8C">
        <w:rPr>
          <w:i/>
          <w:color w:val="000000"/>
          <w:sz w:val="22"/>
          <w:szCs w:val="22"/>
        </w:rPr>
        <w:t>Письмо ГИТ в г. Москве от 22.05.2023 № ПГ/11234/10-17273-ОБ/18-964</w:t>
      </w:r>
    </w:p>
    <w:p w:rsid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</w:p>
    <w:p w:rsid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</w:p>
    <w:p w:rsidR="00D36D8C" w:rsidRDefault="00D36D8C" w:rsidP="00D36D8C">
      <w:pPr>
        <w:pStyle w:val="a3"/>
        <w:spacing w:before="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Правовая инспекция 6-23-81</w:t>
      </w:r>
    </w:p>
    <w:sectPr w:rsidR="00D36D8C" w:rsidSect="00D36D8C">
      <w:pgSz w:w="11906" w:h="16838"/>
      <w:pgMar w:top="0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C01"/>
    <w:multiLevelType w:val="multilevel"/>
    <w:tmpl w:val="63B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B15181"/>
    <w:multiLevelType w:val="multilevel"/>
    <w:tmpl w:val="F3F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32A13"/>
    <w:multiLevelType w:val="multilevel"/>
    <w:tmpl w:val="894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B0440E"/>
    <w:multiLevelType w:val="multilevel"/>
    <w:tmpl w:val="193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8521C"/>
    <w:multiLevelType w:val="multilevel"/>
    <w:tmpl w:val="987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4268D"/>
    <w:multiLevelType w:val="multilevel"/>
    <w:tmpl w:val="4D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2FC4"/>
    <w:rsid w:val="001B697B"/>
    <w:rsid w:val="0022187C"/>
    <w:rsid w:val="0051441A"/>
    <w:rsid w:val="005427D4"/>
    <w:rsid w:val="00564D90"/>
    <w:rsid w:val="00727D4B"/>
    <w:rsid w:val="0083150D"/>
    <w:rsid w:val="00967B2C"/>
    <w:rsid w:val="00972838"/>
    <w:rsid w:val="00AA59FD"/>
    <w:rsid w:val="00AD0BAD"/>
    <w:rsid w:val="00C42FC4"/>
    <w:rsid w:val="00CA41C2"/>
    <w:rsid w:val="00D24B47"/>
    <w:rsid w:val="00D36D8C"/>
    <w:rsid w:val="00D56B13"/>
    <w:rsid w:val="00E7492A"/>
    <w:rsid w:val="00EC0A76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4"/>
  </w:style>
  <w:style w:type="paragraph" w:styleId="1">
    <w:name w:val="heading 1"/>
    <w:basedOn w:val="a"/>
    <w:next w:val="a"/>
    <w:link w:val="10"/>
    <w:uiPriority w:val="9"/>
    <w:qFormat/>
    <w:rsid w:val="00C4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838"/>
    <w:pPr>
      <w:ind w:left="720"/>
      <w:contextualSpacing/>
    </w:pPr>
  </w:style>
  <w:style w:type="paragraph" w:customStyle="1" w:styleId="a6">
    <w:name w:val="Тексты верхнего колонтитула"/>
    <w:basedOn w:val="a7"/>
    <w:qFormat/>
    <w:rsid w:val="00CA41C2"/>
    <w:pPr>
      <w:tabs>
        <w:tab w:val="clear" w:pos="9355"/>
      </w:tabs>
    </w:pPr>
    <w:rPr>
      <w:rFonts w:ascii="Arial" w:eastAsiaTheme="minorEastAsia" w:hAnsi="Arial"/>
      <w:sz w:val="16"/>
      <w:szCs w:val="24"/>
    </w:rPr>
  </w:style>
  <w:style w:type="table" w:styleId="a8">
    <w:name w:val="Table Grid"/>
    <w:basedOn w:val="a1"/>
    <w:uiPriority w:val="39"/>
    <w:rsid w:val="00CA41C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A41C2"/>
  </w:style>
  <w:style w:type="paragraph" w:styleId="aa">
    <w:name w:val="Balloon Text"/>
    <w:basedOn w:val="a"/>
    <w:link w:val="ab"/>
    <w:uiPriority w:val="99"/>
    <w:semiHidden/>
    <w:unhideWhenUsed/>
    <w:rsid w:val="00C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56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B13"/>
  </w:style>
  <w:style w:type="paragraph" w:customStyle="1" w:styleId="seealsoh">
    <w:name w:val="seealso_h"/>
    <w:basedOn w:val="a"/>
    <w:rsid w:val="00D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1717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30083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1559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25268/hdoc/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25268/hdoc/1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25268/hdoc/187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its.1c.ru/db/garant/content/73468076/h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12025268/hdoc/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nastr</cp:lastModifiedBy>
  <cp:revision>3</cp:revision>
  <cp:lastPrinted>2023-11-21T12:38:00Z</cp:lastPrinted>
  <dcterms:created xsi:type="dcterms:W3CDTF">2023-11-23T13:33:00Z</dcterms:created>
  <dcterms:modified xsi:type="dcterms:W3CDTF">2023-11-24T08:14:00Z</dcterms:modified>
</cp:coreProperties>
</file>